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538258D0" w14:textId="77777777" w:rsidR="00935FC8" w:rsidRPr="003110FB" w:rsidRDefault="00935FC8" w:rsidP="00935FC8">
      <w:pPr>
        <w:pStyle w:val="ListParagraph"/>
        <w:spacing w:after="0"/>
      </w:pPr>
    </w:p>
    <w:p w14:paraId="007881C2" w14:textId="4A9605A5" w:rsidR="000B01A4" w:rsidRPr="003F7A97" w:rsidRDefault="003F7A97" w:rsidP="003F7A97">
      <w:pPr>
        <w:spacing w:after="0"/>
        <w:ind w:left="72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Laboratory</w:t>
      </w:r>
      <w:r w:rsidR="00935FC8">
        <w:rPr>
          <w:i/>
          <w:color w:val="2E74B5" w:themeColor="accent1" w:themeShade="BF"/>
        </w:rPr>
        <w:t xml:space="preserve"> 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78635BDC" w14:textId="77777777" w:rsidR="00935FC8" w:rsidRPr="003110FB" w:rsidRDefault="00935FC8" w:rsidP="00935FC8">
      <w:pPr>
        <w:pStyle w:val="ListParagraph"/>
        <w:spacing w:after="0"/>
      </w:pPr>
    </w:p>
    <w:p w14:paraId="2DF7D040" w14:textId="000B0F0B" w:rsidR="000B01A4" w:rsidRDefault="003F7A97" w:rsidP="003F7A97">
      <w:pPr>
        <w:spacing w:after="0"/>
        <w:ind w:left="72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Lynn </w:t>
      </w:r>
      <w:proofErr w:type="spellStart"/>
      <w:r>
        <w:rPr>
          <w:i/>
          <w:color w:val="2E74B5" w:themeColor="accent1" w:themeShade="BF"/>
        </w:rPr>
        <w:t>Hettrick</w:t>
      </w:r>
      <w:proofErr w:type="spellEnd"/>
      <w:r>
        <w:rPr>
          <w:i/>
          <w:color w:val="2E74B5" w:themeColor="accent1" w:themeShade="BF"/>
        </w:rPr>
        <w:t>-Nevada Department of Agriculture</w:t>
      </w:r>
    </w:p>
    <w:p w14:paraId="1A02FF5B" w14:textId="434CC953" w:rsidR="003F7A97" w:rsidRPr="003F7A97" w:rsidRDefault="003F7A97" w:rsidP="003F7A97">
      <w:pPr>
        <w:spacing w:after="0"/>
        <w:ind w:left="72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Alec Garcia-374 Labs</w:t>
      </w:r>
    </w:p>
    <w:p w14:paraId="16FCE777" w14:textId="77777777" w:rsidR="000B01A4" w:rsidRPr="003110FB" w:rsidRDefault="000B01A4" w:rsidP="000B01A4">
      <w:pPr>
        <w:spacing w:after="0"/>
      </w:pPr>
    </w:p>
    <w:p w14:paraId="7F488D41" w14:textId="7095E274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16C80DB9" w14:textId="77777777" w:rsidR="00935FC8" w:rsidRPr="003110FB" w:rsidRDefault="00935FC8" w:rsidP="00935FC8">
      <w:pPr>
        <w:pStyle w:val="ListParagraph"/>
        <w:spacing w:after="0"/>
      </w:pPr>
    </w:p>
    <w:p w14:paraId="75F16EDE" w14:textId="062EF0F8" w:rsidR="00E9081E" w:rsidRDefault="003122B2" w:rsidP="00935FC8">
      <w:pPr>
        <w:spacing w:after="0"/>
        <w:ind w:left="72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Adapt the current NAC 453A for Batch Control and Sampling protocol, adding additional protocols to ensure the integrity of lots of marijuana</w:t>
      </w:r>
      <w:r w:rsidR="003A5F29">
        <w:rPr>
          <w:i/>
          <w:color w:val="2E74B5" w:themeColor="accent1" w:themeShade="BF"/>
        </w:rPr>
        <w:t xml:space="preserve"> for the marijuana programs to be administered by the Nevada Department of Taxation (NDOT)</w:t>
      </w:r>
      <w:r>
        <w:rPr>
          <w:i/>
          <w:color w:val="2E74B5" w:themeColor="accent1" w:themeShade="BF"/>
        </w:rPr>
        <w:t>.  Provide the Nevada Department of Agriculture authority, on request of the Department (NDOT), to random sample quality assurance testing while creating protocol for such instances.</w:t>
      </w:r>
    </w:p>
    <w:p w14:paraId="233A891C" w14:textId="77777777" w:rsidR="00D37D12" w:rsidRDefault="00D37D12" w:rsidP="00935FC8">
      <w:pPr>
        <w:spacing w:after="0"/>
        <w:ind w:left="720"/>
        <w:jc w:val="both"/>
        <w:rPr>
          <w:i/>
          <w:color w:val="2E74B5" w:themeColor="accent1" w:themeShade="BF"/>
        </w:rPr>
      </w:pPr>
    </w:p>
    <w:p w14:paraId="6652B749" w14:textId="1196F869" w:rsidR="00D37D12" w:rsidRPr="00D37D12" w:rsidRDefault="00D37D12" w:rsidP="00935FC8">
      <w:pPr>
        <w:pStyle w:val="ListParagraph"/>
        <w:jc w:val="both"/>
        <w:rPr>
          <w:i/>
          <w:color w:val="2E74B5" w:themeColor="accent1" w:themeShade="BF"/>
        </w:rPr>
      </w:pPr>
      <w:r w:rsidRPr="00CB2961">
        <w:rPr>
          <w:i/>
          <w:color w:val="2E74B5" w:themeColor="accent1" w:themeShade="BF"/>
        </w:rPr>
        <w:t xml:space="preserve">Sample size is going to require additional discussion.  </w:t>
      </w:r>
    </w:p>
    <w:p w14:paraId="0E4E56E5" w14:textId="77777777" w:rsidR="00D37D12" w:rsidRDefault="00D37D12" w:rsidP="00935FC8">
      <w:pPr>
        <w:pStyle w:val="ListParagraph"/>
        <w:jc w:val="both"/>
        <w:rPr>
          <w:i/>
          <w:color w:val="2E74B5" w:themeColor="accent1" w:themeShade="BF"/>
        </w:rPr>
      </w:pPr>
      <w:r w:rsidRPr="00CB2961">
        <w:rPr>
          <w:i/>
          <w:color w:val="2E74B5" w:themeColor="accent1" w:themeShade="BF"/>
        </w:rPr>
        <w:t>Current sample size is 6-10 grams.  The NDA microbiologist says that a meaningful test for the pathogens of concern requires a sample of 23-25 grams.  When all the testing needs are accounted for, a sample needs to be about 40 grams.</w:t>
      </w:r>
    </w:p>
    <w:p w14:paraId="17AACC4B" w14:textId="3E2F88B9" w:rsidR="00D37D12" w:rsidRDefault="00D37D12" w:rsidP="00935FC8">
      <w:pPr>
        <w:ind w:left="720"/>
        <w:jc w:val="both"/>
        <w:rPr>
          <w:i/>
          <w:color w:val="2E74B5" w:themeColor="accent1" w:themeShade="BF"/>
        </w:rPr>
      </w:pPr>
      <w:r w:rsidRPr="00D37D12">
        <w:rPr>
          <w:i/>
          <w:color w:val="2E74B5" w:themeColor="accent1" w:themeShade="BF"/>
        </w:rPr>
        <w:t>A sample of 40 grams is a significant expense to the cultivator; however, a 40 gram sample is also a far better representation of the sampled lot and the likelihood of additional testing would be substantially reduced.</w:t>
      </w:r>
    </w:p>
    <w:p w14:paraId="596E5111" w14:textId="546D0D02" w:rsidR="00FC00E7" w:rsidRPr="00FC00E7" w:rsidRDefault="00FC00E7" w:rsidP="00935FC8">
      <w:pPr>
        <w:ind w:left="720"/>
        <w:jc w:val="both"/>
        <w:rPr>
          <w:i/>
          <w:color w:val="2E74B5" w:themeColor="accent1" w:themeShade="BF"/>
        </w:rPr>
      </w:pPr>
      <w:r w:rsidRPr="00FC00E7">
        <w:rPr>
          <w:i/>
          <w:color w:val="2E74B5" w:themeColor="accent1" w:themeShade="BF"/>
        </w:rPr>
        <w:t>If the recommendation for labs to be ISO certified is adopted, the requirement will be for a minimum of two years of record retention.  With or without ISO, records must be retained until the appropriate certifying organization conducts an audit.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13C31CFE" w14:textId="77777777" w:rsidR="00935FC8" w:rsidRPr="003110FB" w:rsidRDefault="00935FC8" w:rsidP="00935FC8">
      <w:pPr>
        <w:pStyle w:val="ListParagraph"/>
        <w:spacing w:after="0"/>
      </w:pPr>
    </w:p>
    <w:p w14:paraId="138EEBA3" w14:textId="3B4DE4C4" w:rsidR="005B0D05" w:rsidRDefault="00935FC8" w:rsidP="00935FC8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Guiding Principle </w:t>
      </w:r>
      <w:r w:rsidR="005B0D05" w:rsidRPr="005B0D05">
        <w:rPr>
          <w:i/>
          <w:color w:val="2E74B5" w:themeColor="accent1" w:themeShade="BF"/>
        </w:rPr>
        <w:t>2</w:t>
      </w:r>
      <w:r>
        <w:rPr>
          <w:i/>
          <w:color w:val="2E74B5" w:themeColor="accent1" w:themeShade="BF"/>
        </w:rPr>
        <w:t xml:space="preserve"> </w:t>
      </w:r>
      <w:r w:rsidR="005B0D05" w:rsidRPr="005B0D05">
        <w:rPr>
          <w:i/>
          <w:color w:val="2E74B5" w:themeColor="accent1" w:themeShade="BF"/>
        </w:rPr>
        <w:t>-</w:t>
      </w:r>
      <w:r>
        <w:rPr>
          <w:i/>
          <w:color w:val="2E74B5" w:themeColor="accent1" w:themeShade="BF"/>
        </w:rPr>
        <w:t xml:space="preserve"> </w:t>
      </w:r>
      <w:r w:rsidR="005B0D05" w:rsidRPr="005B0D05">
        <w:rPr>
          <w:i/>
          <w:color w:val="2E74B5" w:themeColor="accent1" w:themeShade="BF"/>
        </w:rPr>
        <w:t>Be responsive to the needs and issues of consumers, non-consumers, local governments and the industry</w:t>
      </w:r>
    </w:p>
    <w:p w14:paraId="5E66AEEA" w14:textId="20C61492" w:rsidR="009A07BB" w:rsidRPr="009A07BB" w:rsidRDefault="00935FC8" w:rsidP="00935FC8">
      <w:pPr>
        <w:tabs>
          <w:tab w:val="left" w:pos="8613"/>
        </w:tabs>
        <w:spacing w:after="200" w:line="300" w:lineRule="exact"/>
        <w:ind w:left="720" w:right="693"/>
        <w:jc w:val="both"/>
        <w:rPr>
          <w:rFonts w:ascii="Calibri" w:hAnsi="Calibri"/>
          <w:i/>
          <w:color w:val="2E74B5" w:themeColor="accent1" w:themeShade="BF"/>
        </w:rPr>
      </w:pPr>
      <w:r>
        <w:rPr>
          <w:rFonts w:ascii="Calibri" w:hAnsi="Calibri"/>
          <w:i/>
          <w:color w:val="2E74B5" w:themeColor="accent1" w:themeShade="BF"/>
        </w:rPr>
        <w:t>Guiding Principle 4 -</w:t>
      </w:r>
      <w:r>
        <w:rPr>
          <w:rFonts w:ascii="Calibri" w:hAnsi="Calibri"/>
          <w:sz w:val="32"/>
          <w:szCs w:val="32"/>
        </w:rPr>
        <w:t xml:space="preserve"> </w:t>
      </w:r>
      <w:r w:rsidR="009A07BB" w:rsidRPr="00EA2C41">
        <w:rPr>
          <w:rFonts w:ascii="Calibri" w:hAnsi="Calibri"/>
          <w:i/>
          <w:color w:val="2E74B5" w:themeColor="accent1" w:themeShade="BF"/>
        </w:rPr>
        <w:t>Propose efficient and effective regulation that is clear and reasonable and not unduly burdensome</w:t>
      </w:r>
    </w:p>
    <w:p w14:paraId="6CF28FF3" w14:textId="2C22E0CD" w:rsidR="005B0D05" w:rsidRDefault="00935FC8" w:rsidP="00935FC8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Guiding Principle </w:t>
      </w:r>
      <w:r w:rsidR="005B0D05" w:rsidRPr="005B0D05">
        <w:rPr>
          <w:i/>
          <w:color w:val="2E74B5" w:themeColor="accent1" w:themeShade="BF"/>
        </w:rPr>
        <w:t>6</w:t>
      </w:r>
      <w:r>
        <w:rPr>
          <w:i/>
          <w:color w:val="2E74B5" w:themeColor="accent1" w:themeShade="BF"/>
        </w:rPr>
        <w:t xml:space="preserve"> </w:t>
      </w:r>
      <w:r w:rsidR="005B0D05" w:rsidRPr="005B0D05">
        <w:rPr>
          <w:i/>
          <w:color w:val="2E74B5" w:themeColor="accent1" w:themeShade="BF"/>
        </w:rPr>
        <w:t>-</w:t>
      </w:r>
      <w:r>
        <w:rPr>
          <w:i/>
          <w:color w:val="2E74B5" w:themeColor="accent1" w:themeShade="BF"/>
        </w:rPr>
        <w:t xml:space="preserve"> </w:t>
      </w:r>
      <w:r w:rsidR="005B0D05" w:rsidRPr="005B0D05">
        <w:rPr>
          <w:i/>
          <w:color w:val="2E74B5" w:themeColor="accent1" w:themeShade="BF"/>
        </w:rPr>
        <w:t>Establish regulations that are clear and practical, so that interactions between law enforcement, consumers, and licensees are predictable and understandable</w:t>
      </w:r>
    </w:p>
    <w:p w14:paraId="5116D1CB" w14:textId="77777777" w:rsidR="00935FC8" w:rsidRPr="005B0D05" w:rsidRDefault="00935FC8" w:rsidP="00935FC8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63D6C0FB" w14:textId="44E413BD" w:rsidR="00E9081E" w:rsidRDefault="00935FC8" w:rsidP="00935FC8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Guiding Principle </w:t>
      </w:r>
      <w:r w:rsidR="005B0D05" w:rsidRPr="005B0D05">
        <w:rPr>
          <w:i/>
          <w:color w:val="2E74B5" w:themeColor="accent1" w:themeShade="BF"/>
        </w:rPr>
        <w:t>7</w:t>
      </w:r>
      <w:r>
        <w:rPr>
          <w:i/>
          <w:color w:val="2E74B5" w:themeColor="accent1" w:themeShade="BF"/>
        </w:rPr>
        <w:t xml:space="preserve"> </w:t>
      </w:r>
      <w:r w:rsidR="005B0D05" w:rsidRPr="005B0D05">
        <w:rPr>
          <w:i/>
          <w:color w:val="2E74B5" w:themeColor="accent1" w:themeShade="BF"/>
        </w:rPr>
        <w:t>-</w:t>
      </w:r>
      <w:r>
        <w:rPr>
          <w:i/>
          <w:color w:val="2E74B5" w:themeColor="accent1" w:themeShade="BF"/>
        </w:rPr>
        <w:t xml:space="preserve"> </w:t>
      </w:r>
      <w:r w:rsidR="005B0D05" w:rsidRPr="005B0D05">
        <w:rPr>
          <w:i/>
          <w:color w:val="2E74B5" w:themeColor="accent1" w:themeShade="BF"/>
        </w:rPr>
        <w:t>Take action that is faithful to the text of Question 2</w:t>
      </w:r>
    </w:p>
    <w:p w14:paraId="7CD6058F" w14:textId="77777777" w:rsidR="00935FC8" w:rsidRDefault="00935FC8" w:rsidP="00935FC8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39A03F3A" w14:textId="77777777" w:rsidR="00935FC8" w:rsidRPr="009A07BB" w:rsidRDefault="00935FC8" w:rsidP="00935FC8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2DC7E08C" w14:textId="77777777" w:rsidR="00E9081E" w:rsidRPr="003110FB" w:rsidRDefault="00E9081E" w:rsidP="00E9081E">
      <w:pPr>
        <w:spacing w:after="0"/>
      </w:pP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 xml:space="preserve">What provision(s) of Question 2 does this recommendation apply to?  </w:t>
      </w:r>
    </w:p>
    <w:p w14:paraId="426A0B99" w14:textId="77777777" w:rsidR="00F837B4" w:rsidRPr="003110FB" w:rsidRDefault="00F837B4" w:rsidP="00F837B4">
      <w:pPr>
        <w:pStyle w:val="ListParagraph"/>
        <w:spacing w:after="0"/>
      </w:pPr>
    </w:p>
    <w:p w14:paraId="545CB5A3" w14:textId="77777777" w:rsidR="009A07BB" w:rsidRPr="00CB2961" w:rsidRDefault="009A07BB" w:rsidP="00F837B4">
      <w:pPr>
        <w:pStyle w:val="ListParagraph"/>
        <w:jc w:val="both"/>
        <w:rPr>
          <w:i/>
          <w:color w:val="2E74B5" w:themeColor="accent1" w:themeShade="BF"/>
        </w:rPr>
      </w:pPr>
      <w:r w:rsidRPr="00CB2961">
        <w:rPr>
          <w:i/>
          <w:color w:val="2E74B5" w:themeColor="accent1" w:themeShade="BF"/>
        </w:rPr>
        <w:t>Q2 requires testing for potency and contaminants (sec 3 (15)).  Based on Q2, a consumer will believe that the products he/she is purchasing have been properly tested and labeled.  Providing a test result from a sample that is too small to adequately characterize the tested lot betrays the consumer’s trust and creates a potential health hazard.</w:t>
      </w:r>
    </w:p>
    <w:p w14:paraId="7FFE284B" w14:textId="77777777" w:rsidR="009A07BB" w:rsidRDefault="009A07BB" w:rsidP="00F837B4">
      <w:pPr>
        <w:pStyle w:val="ListParagraph"/>
        <w:spacing w:after="0"/>
        <w:jc w:val="both"/>
        <w:rPr>
          <w:i/>
          <w:color w:val="0070C0"/>
        </w:rPr>
      </w:pPr>
    </w:p>
    <w:p w14:paraId="4E942085" w14:textId="77777777" w:rsidR="005B0D05" w:rsidRDefault="005B0D05" w:rsidP="00F837B4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Section 2, subsection (g): Marijuana sold in the state will be tested and labeled</w:t>
      </w:r>
    </w:p>
    <w:p w14:paraId="23B05DAB" w14:textId="77777777" w:rsidR="005B0D05" w:rsidRDefault="005B0D05" w:rsidP="00F837B4">
      <w:pPr>
        <w:pStyle w:val="ListParagraph"/>
        <w:spacing w:after="0"/>
        <w:jc w:val="both"/>
        <w:rPr>
          <w:i/>
          <w:color w:val="0070C0"/>
        </w:rPr>
      </w:pPr>
    </w:p>
    <w:p w14:paraId="4B61E723" w14:textId="27003F32" w:rsidR="00E9081E" w:rsidRDefault="005B0D05" w:rsidP="00F837B4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Section 3, subsection 15: “Marijuana testing facility” means an entity licensed to test marijuana and marijuana products, including for potency and contaminants</w:t>
      </w:r>
    </w:p>
    <w:p w14:paraId="4F852DAA" w14:textId="77777777" w:rsidR="005B0D05" w:rsidRDefault="005B0D05" w:rsidP="00F837B4">
      <w:pPr>
        <w:pStyle w:val="ListParagraph"/>
        <w:spacing w:after="0"/>
        <w:jc w:val="both"/>
        <w:rPr>
          <w:i/>
          <w:color w:val="0070C0"/>
        </w:rPr>
      </w:pPr>
    </w:p>
    <w:p w14:paraId="3F4F9EA1" w14:textId="2247A5CA" w:rsidR="00E9081E" w:rsidRPr="005B0D05" w:rsidRDefault="005B0D05" w:rsidP="00F837B4">
      <w:pPr>
        <w:pStyle w:val="ListParagraph"/>
        <w:spacing w:after="0"/>
        <w:jc w:val="both"/>
        <w:rPr>
          <w:rFonts w:cstheme="minorHAnsi"/>
          <w:i/>
          <w:color w:val="2E74B5" w:themeColor="accent1" w:themeShade="BF"/>
        </w:rPr>
      </w:pPr>
      <w:r>
        <w:rPr>
          <w:i/>
          <w:color w:val="0070C0"/>
        </w:rPr>
        <w:t xml:space="preserve">Section 5, subsection 1: </w:t>
      </w:r>
      <w:r w:rsidRPr="005B0D05">
        <w:rPr>
          <w:rFonts w:cstheme="minorHAnsi"/>
          <w:i/>
          <w:color w:val="2E74B5" w:themeColor="accent1" w:themeShade="BF"/>
          <w:shd w:val="clear" w:color="auto" w:fill="FFFFFF"/>
        </w:rPr>
        <w:t>Requirements for the testing and labeling of marijuana and marijuana products sold by marijuana establishments including a numerical indication of potency based on the ratio of THC to the weight of a product intended for oral consumption;</w:t>
      </w: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794BC598" w14:textId="77777777" w:rsidR="00F837B4" w:rsidRPr="003110FB" w:rsidRDefault="00F837B4" w:rsidP="00F837B4">
      <w:pPr>
        <w:pStyle w:val="ListParagraph"/>
        <w:spacing w:after="0"/>
      </w:pPr>
    </w:p>
    <w:p w14:paraId="1377ECA8" w14:textId="144992FC" w:rsidR="001B0ADC" w:rsidRPr="005816DB" w:rsidRDefault="005B0D05" w:rsidP="00F837B4">
      <w:pPr>
        <w:spacing w:after="0"/>
        <w:ind w:left="72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Establishes guidelines for the Nevada Department of Agriculture to establish the testing methodology, maintain a quality control and quality assurance program</w:t>
      </w:r>
      <w:r w:rsidR="000566DC">
        <w:rPr>
          <w:i/>
          <w:color w:val="2E74B5" w:themeColor="accent1" w:themeShade="BF"/>
        </w:rPr>
        <w:t xml:space="preserve"> and inspection protocol</w:t>
      </w:r>
      <w:r>
        <w:rPr>
          <w:i/>
          <w:color w:val="2E74B5" w:themeColor="accent1" w:themeShade="BF"/>
        </w:rPr>
        <w:t xml:space="preserve"> used for the marijuana program administered by NDOT. </w:t>
      </w:r>
    </w:p>
    <w:p w14:paraId="7ABEA5B8" w14:textId="77777777" w:rsidR="001B0ADC" w:rsidRPr="003110FB" w:rsidRDefault="001B0ADC" w:rsidP="00F837B4">
      <w:pPr>
        <w:spacing w:after="0"/>
        <w:jc w:val="both"/>
      </w:pPr>
    </w:p>
    <w:p w14:paraId="7EE888FD" w14:textId="57F39BB4"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6AE85054" w14:textId="77777777" w:rsidR="00F837B4" w:rsidRDefault="00F837B4" w:rsidP="00F837B4">
      <w:pPr>
        <w:spacing w:after="0"/>
      </w:pPr>
    </w:p>
    <w:p w14:paraId="695679BB" w14:textId="04574BD4" w:rsidR="00E9081E" w:rsidRPr="00F837B4" w:rsidRDefault="00F837B4" w:rsidP="00F837B4">
      <w:pPr>
        <w:spacing w:after="0"/>
        <w:ind w:left="720"/>
        <w:rPr>
          <w:i/>
          <w:color w:val="0070C0"/>
        </w:rPr>
      </w:pPr>
      <w:r w:rsidRPr="00F837B4">
        <w:rPr>
          <w:i/>
          <w:color w:val="0070C0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77777777" w:rsidR="00E9081E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2404C102" w14:textId="77777777" w:rsidR="00F837B4" w:rsidRPr="003110FB" w:rsidRDefault="00F837B4" w:rsidP="00F837B4">
      <w:pPr>
        <w:pStyle w:val="ListParagraph"/>
        <w:spacing w:after="0"/>
      </w:pPr>
    </w:p>
    <w:p w14:paraId="3C35343D" w14:textId="77777777" w:rsidR="009A07BB" w:rsidRPr="00CB2961" w:rsidRDefault="009A07BB" w:rsidP="00F837B4">
      <w:pPr>
        <w:pStyle w:val="ListParagraph"/>
        <w:spacing w:after="0"/>
        <w:jc w:val="both"/>
        <w:rPr>
          <w:i/>
          <w:color w:val="2E74B5" w:themeColor="accent1" w:themeShade="BF"/>
        </w:rPr>
      </w:pPr>
      <w:proofErr w:type="gramStart"/>
      <w:r w:rsidRPr="00CB2961">
        <w:rPr>
          <w:i/>
          <w:color w:val="2E74B5" w:themeColor="accent1" w:themeShade="BF"/>
        </w:rPr>
        <w:t>Adaption of existing NAC 453A</w:t>
      </w:r>
      <w:r>
        <w:rPr>
          <w:i/>
          <w:color w:val="2E74B5" w:themeColor="accent1" w:themeShade="BF"/>
        </w:rPr>
        <w:t xml:space="preserve"> for medical marijuana to the marijuana program administered by the Nevada Department of Taxation.</w:t>
      </w:r>
      <w:proofErr w:type="gramEnd"/>
      <w:r>
        <w:rPr>
          <w:i/>
          <w:color w:val="2E74B5" w:themeColor="accent1" w:themeShade="BF"/>
        </w:rPr>
        <w:t xml:space="preserve"> </w:t>
      </w:r>
    </w:p>
    <w:p w14:paraId="6E62C578" w14:textId="77777777" w:rsidR="00E9081E" w:rsidRPr="003110FB" w:rsidRDefault="00E9081E" w:rsidP="00F837B4">
      <w:pPr>
        <w:pStyle w:val="ListParagraph"/>
        <w:spacing w:after="0"/>
        <w:jc w:val="both"/>
      </w:pPr>
    </w:p>
    <w:p w14:paraId="1EC95596" w14:textId="7858F08D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</w:p>
    <w:p w14:paraId="0A2BE6A0" w14:textId="77777777" w:rsidR="00F837B4" w:rsidRDefault="00F837B4" w:rsidP="00F837B4">
      <w:pPr>
        <w:pStyle w:val="ListParagraph"/>
        <w:spacing w:after="0"/>
      </w:pPr>
    </w:p>
    <w:p w14:paraId="656D3E05" w14:textId="1ACDC444" w:rsidR="00F837B4" w:rsidRPr="00F837B4" w:rsidRDefault="00F837B4" w:rsidP="00F837B4">
      <w:pPr>
        <w:spacing w:after="0"/>
        <w:ind w:left="720"/>
        <w:rPr>
          <w:i/>
          <w:color w:val="0070C0"/>
        </w:rPr>
      </w:pPr>
      <w:bookmarkStart w:id="0" w:name="_GoBack"/>
      <w:r w:rsidRPr="00F837B4">
        <w:rPr>
          <w:i/>
          <w:color w:val="0070C0"/>
        </w:rPr>
        <w:t>None</w:t>
      </w:r>
    </w:p>
    <w:bookmarkEnd w:id="0"/>
    <w:p w14:paraId="6E71B230" w14:textId="77777777" w:rsidR="00F837B4" w:rsidRPr="003110FB" w:rsidRDefault="00F837B4" w:rsidP="00F837B4">
      <w:pPr>
        <w:spacing w:after="0"/>
      </w:pPr>
    </w:p>
    <w:p w14:paraId="6BBB2368" w14:textId="77777777" w:rsidR="00753FA6" w:rsidRPr="003110FB" w:rsidRDefault="00753FA6" w:rsidP="007A4A8C">
      <w:pPr>
        <w:spacing w:after="0"/>
      </w:pPr>
    </w:p>
    <w:p w14:paraId="054A4F76" w14:textId="62EF1CAC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43FA2" w14:textId="77777777" w:rsidR="00973AF5" w:rsidRDefault="00973AF5" w:rsidP="00391997">
      <w:pPr>
        <w:spacing w:after="0" w:line="240" w:lineRule="auto"/>
      </w:pPr>
      <w:r>
        <w:separator/>
      </w:r>
    </w:p>
  </w:endnote>
  <w:endnote w:type="continuationSeparator" w:id="0">
    <w:p w14:paraId="5A6D0C75" w14:textId="77777777" w:rsidR="00973AF5" w:rsidRDefault="00973AF5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580CBAD6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FA21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9805E6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Working Group Presentation to the </w:t>
    </w:r>
    <w:r w:rsidR="00AB71F7">
      <w:rPr>
        <w:rFonts w:ascii="Calibri" w:eastAsia="Times New Roman" w:hAnsi="Calibri" w:cs="Times New Roman"/>
        <w:b/>
        <w:i/>
        <w:color w:val="3737A5"/>
        <w:sz w:val="16"/>
        <w:szCs w:val="16"/>
      </w:rPr>
      <w:t>Task Force</w:t>
    </w:r>
    <w:r w:rsidR="009805E6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Form</w:t>
    </w:r>
    <w:r w:rsidR="00114EF2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v. 4.0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March 1</w:t>
    </w:r>
    <w:r w:rsidR="009264B2">
      <w:rPr>
        <w:rFonts w:ascii="Calibri" w:eastAsia="Times New Roman" w:hAnsi="Calibri" w:cs="Times New Roman"/>
        <w:bCs/>
        <w:i/>
        <w:color w:val="3737A5"/>
        <w:sz w:val="16"/>
        <w:szCs w:val="16"/>
      </w:rPr>
      <w:t>7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FF56E" w14:textId="77777777" w:rsidR="00973AF5" w:rsidRDefault="00973AF5" w:rsidP="00391997">
      <w:pPr>
        <w:spacing w:after="0" w:line="240" w:lineRule="auto"/>
      </w:pPr>
      <w:r>
        <w:separator/>
      </w:r>
    </w:p>
  </w:footnote>
  <w:footnote w:type="continuationSeparator" w:id="0">
    <w:p w14:paraId="1A66FEFB" w14:textId="77777777" w:rsidR="00973AF5" w:rsidRDefault="00973AF5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1CD06DA7" w:rsidR="00F43822" w:rsidRPr="00F43822" w:rsidRDefault="00DC352E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Sample Sizes for Testing and Retention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566DC"/>
    <w:rsid w:val="00060468"/>
    <w:rsid w:val="000A61D0"/>
    <w:rsid w:val="000B01A4"/>
    <w:rsid w:val="00114EF2"/>
    <w:rsid w:val="001866F9"/>
    <w:rsid w:val="001B0ADC"/>
    <w:rsid w:val="001B10FF"/>
    <w:rsid w:val="00202E4C"/>
    <w:rsid w:val="0023729A"/>
    <w:rsid w:val="002F7E89"/>
    <w:rsid w:val="003110FB"/>
    <w:rsid w:val="003122B2"/>
    <w:rsid w:val="00391997"/>
    <w:rsid w:val="003A5F29"/>
    <w:rsid w:val="003A6360"/>
    <w:rsid w:val="003F7A97"/>
    <w:rsid w:val="004039AB"/>
    <w:rsid w:val="00435662"/>
    <w:rsid w:val="00442A3F"/>
    <w:rsid w:val="00565923"/>
    <w:rsid w:val="005816DB"/>
    <w:rsid w:val="005B0D05"/>
    <w:rsid w:val="005E102D"/>
    <w:rsid w:val="006661F5"/>
    <w:rsid w:val="006B0A7E"/>
    <w:rsid w:val="006D4662"/>
    <w:rsid w:val="00700DCA"/>
    <w:rsid w:val="00753FA6"/>
    <w:rsid w:val="007746E2"/>
    <w:rsid w:val="00774894"/>
    <w:rsid w:val="007765FD"/>
    <w:rsid w:val="007A4A8C"/>
    <w:rsid w:val="008313F9"/>
    <w:rsid w:val="00882EE9"/>
    <w:rsid w:val="008D5094"/>
    <w:rsid w:val="008F0634"/>
    <w:rsid w:val="009201F4"/>
    <w:rsid w:val="009264B2"/>
    <w:rsid w:val="00935FC8"/>
    <w:rsid w:val="00957E83"/>
    <w:rsid w:val="00961D8A"/>
    <w:rsid w:val="00973AF5"/>
    <w:rsid w:val="009805E6"/>
    <w:rsid w:val="00996A51"/>
    <w:rsid w:val="009A07BB"/>
    <w:rsid w:val="009D1938"/>
    <w:rsid w:val="00A312E6"/>
    <w:rsid w:val="00A65F54"/>
    <w:rsid w:val="00AB71F7"/>
    <w:rsid w:val="00B11C15"/>
    <w:rsid w:val="00B70E4E"/>
    <w:rsid w:val="00BC0B03"/>
    <w:rsid w:val="00BC0F10"/>
    <w:rsid w:val="00BF6BBC"/>
    <w:rsid w:val="00C52036"/>
    <w:rsid w:val="00CC30A8"/>
    <w:rsid w:val="00D22E65"/>
    <w:rsid w:val="00D37D12"/>
    <w:rsid w:val="00D926ED"/>
    <w:rsid w:val="00DA287B"/>
    <w:rsid w:val="00DC352E"/>
    <w:rsid w:val="00DC4C91"/>
    <w:rsid w:val="00DD1A10"/>
    <w:rsid w:val="00DE0ABD"/>
    <w:rsid w:val="00E9081E"/>
    <w:rsid w:val="00E96CEA"/>
    <w:rsid w:val="00EC03A5"/>
    <w:rsid w:val="00F046BC"/>
    <w:rsid w:val="00F27CF2"/>
    <w:rsid w:val="00F43822"/>
    <w:rsid w:val="00F837B4"/>
    <w:rsid w:val="00FC00E7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E7A3-A560-4F52-A939-D4E035C5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3</cp:revision>
  <cp:lastPrinted>2017-03-01T23:42:00Z</cp:lastPrinted>
  <dcterms:created xsi:type="dcterms:W3CDTF">2017-03-28T20:51:00Z</dcterms:created>
  <dcterms:modified xsi:type="dcterms:W3CDTF">2017-03-28T20:53:00Z</dcterms:modified>
</cp:coreProperties>
</file>